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outlineLvl w:val="0"/>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outlineLvl w:val="0"/>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013</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left="319" w:leftChars="152" w:firstLine="400" w:firstLineChars="1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_GB2312" w:eastAsia="仿宋_GB2312" w:cs="仿宋_GB2312"/>
          <w:color w:val="auto"/>
          <w:kern w:val="0"/>
          <w:sz w:val="32"/>
          <w:szCs w:val="32"/>
          <w:lang w:val="en-US" w:eastAsia="zh-CN"/>
        </w:rPr>
        <w:t>1300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outlineLvl w:val="0"/>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390</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0"/>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w:t>
      </w:r>
      <w:r>
        <w:rPr>
          <w:rFonts w:hint="eastAsia" w:ascii="仿宋" w:hAnsi="仿宋" w:eastAsia="仿宋"/>
          <w:sz w:val="32"/>
          <w:szCs w:val="32"/>
          <w:lang w:val="en-US" w:eastAsia="zh-CN"/>
        </w:rPr>
        <w:t>且至报名日止未处罚完结的；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w:t>
      </w:r>
      <w:r>
        <w:rPr>
          <w:rFonts w:hint="eastAsia" w:ascii="仿宋" w:hAnsi="仿宋" w:eastAsia="仿宋"/>
          <w:sz w:val="32"/>
          <w:szCs w:val="32"/>
          <w:lang w:val="en-US" w:eastAsia="zh-CN"/>
        </w:rPr>
        <w:t>情形且至报名日止未处罚完结的；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_GB2312" w:hAnsi="宋体" w:eastAsia="仿宋_GB2312" w:cs="宋体"/>
          <w:color w:val="auto"/>
          <w:kern w:val="0"/>
          <w:sz w:val="32"/>
          <w:szCs w:val="32"/>
          <w:lang w:val="en-US" w:eastAsia="zh-CN" w:bidi="ar-SA"/>
        </w:rPr>
        <w:t>至报名日止仍拖欠政府地价款</w:t>
      </w:r>
      <w:r>
        <w:rPr>
          <w:rFonts w:hint="eastAsia" w:ascii="仿宋" w:hAnsi="仿宋" w:eastAsia="仿宋"/>
          <w:sz w:val="32"/>
          <w:szCs w:val="32"/>
        </w:rPr>
        <w:t>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22982</w:t>
      </w:r>
      <w:bookmarkStart w:id="0" w:name="_GoBack"/>
      <w:bookmarkEnd w:id="0"/>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20008</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）竞买人须提交惠城区发改局出具的与该宗地块产业类型一致的优先发展产业项目文件。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所报总平面图的主要技术经济指标：</w:t>
      </w:r>
      <w:r>
        <w:rPr>
          <w:rFonts w:hint="eastAsia" w:ascii="仿宋_GB2312" w:hAnsi="宋体" w:eastAsia="仿宋_GB2312" w:cs="宋体"/>
          <w:kern w:val="0"/>
          <w:sz w:val="32"/>
          <w:szCs w:val="32"/>
          <w:lang w:val="en-US" w:eastAsia="zh-CN" w:bidi="ar-SA"/>
        </w:rPr>
        <w:t>规划布局为1栋地上9层的厂房、1栋地上6层配套服务楼，计算指标用地面积12768平方米，计容积率建筑面积31920平方米（其中生活服务设施建筑面积占比14.4%），容积率2.5，建筑密度30.4%，建筑首层占地面积为3887平方米（其中生活服务设施基底面积占用地面积比6.98%），绿地率15%，机动车停车位129个（其中地面57个，首层架空停车72个）。 所报方案技术指标符合《规划设计条件告知书》（PB20220008）相关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招商条件</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投资强度不低于18000元/平方米，土地产出率（营业收入）不低于19000元/平方米/年，税收产出不低于1000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keepNext w:val="0"/>
        <w:keepLines w:val="0"/>
        <w:pageBreakBefore w:val="0"/>
        <w:widowControl w:val="0"/>
        <w:numPr>
          <w:ilvl w:val="0"/>
          <w:numId w:val="1"/>
        </w:numPr>
        <w:kinsoku/>
        <w:wordWrap/>
        <w:overflowPunct/>
        <w:topLinePunct w:val="0"/>
        <w:autoSpaceDE/>
        <w:autoSpaceDN/>
        <w:bidi w:val="0"/>
        <w:spacing w:line="560" w:lineRule="exact"/>
        <w:ind w:left="-10" w:leftChars="0" w:firstLine="64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竞得人在签订《成交确认书》前，须与</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对项目用地实施批后监管。</w:t>
      </w:r>
    </w:p>
    <w:p>
      <w:pPr>
        <w:keepNext w:val="0"/>
        <w:keepLines w:val="0"/>
        <w:pageBreakBefore w:val="0"/>
        <w:widowControl w:val="0"/>
        <w:numPr>
          <w:ilvl w:val="0"/>
          <w:numId w:val="1"/>
        </w:numPr>
        <w:kinsoku/>
        <w:wordWrap/>
        <w:overflowPunct/>
        <w:topLinePunct w:val="0"/>
        <w:autoSpaceDE/>
        <w:autoSpaceDN/>
        <w:bidi w:val="0"/>
        <w:spacing w:line="560" w:lineRule="exact"/>
        <w:ind w:left="-10" w:leftChars="0" w:firstLine="64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其他条件</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rPr>
      </w:pPr>
      <w:r>
        <w:rPr>
          <w:rFonts w:hint="default" w:ascii="仿宋_GB2312" w:hAnsi="宋体" w:eastAsia="仿宋_GB2312" w:cs="宋体"/>
          <w:kern w:val="0"/>
          <w:sz w:val="32"/>
          <w:szCs w:val="32"/>
          <w:lang w:val="en-US" w:eastAsia="zh-CN" w:bidi="ar-SA"/>
        </w:rPr>
        <w:t>为满足今后企业</w:t>
      </w:r>
      <w:r>
        <w:rPr>
          <w:rFonts w:hint="eastAsia" w:ascii="仿宋_GB2312" w:hAnsi="宋体" w:eastAsia="仿宋_GB2312" w:cs="宋体"/>
          <w:kern w:val="0"/>
          <w:sz w:val="32"/>
          <w:szCs w:val="32"/>
          <w:lang w:val="en-US" w:eastAsia="zh-CN" w:bidi="ar-SA"/>
        </w:rPr>
        <w:t>用地需求</w:t>
      </w:r>
      <w:r>
        <w:rPr>
          <w:rFonts w:hint="default" w:ascii="仿宋_GB2312" w:hAnsi="宋体" w:eastAsia="仿宋_GB2312" w:cs="宋体"/>
          <w:kern w:val="0"/>
          <w:sz w:val="32"/>
          <w:szCs w:val="32"/>
          <w:lang w:val="en-US" w:eastAsia="zh-CN" w:bidi="ar-SA"/>
        </w:rPr>
        <w:t>，</w:t>
      </w:r>
      <w:r>
        <w:rPr>
          <w:rFonts w:hint="eastAsia" w:ascii="仿宋_GB2312" w:hAnsi="宋体" w:eastAsia="仿宋_GB2312" w:cs="宋体"/>
          <w:kern w:val="0"/>
          <w:sz w:val="32"/>
          <w:szCs w:val="32"/>
          <w:lang w:val="en-US" w:eastAsia="zh-CN" w:bidi="ar-SA"/>
        </w:rPr>
        <w:t>根据供电配电需求，</w:t>
      </w:r>
      <w:r>
        <w:rPr>
          <w:rFonts w:hint="default" w:ascii="仿宋_GB2312" w:hAnsi="宋体" w:eastAsia="仿宋_GB2312" w:cs="宋体"/>
          <w:kern w:val="0"/>
          <w:sz w:val="32"/>
          <w:szCs w:val="32"/>
          <w:lang w:val="en-US" w:eastAsia="zh-CN" w:bidi="ar-SA"/>
        </w:rPr>
        <w:t>取得以上地块使用权利人需承担在地块内配建一个建筑面积≧60㎡，建筑占地面积≧60㎡的</w:t>
      </w:r>
      <w:r>
        <w:rPr>
          <w:rFonts w:hint="eastAsia" w:ascii="仿宋_GB2312" w:hAnsi="宋体" w:eastAsia="仿宋_GB2312" w:cs="宋体"/>
          <w:kern w:val="0"/>
          <w:sz w:val="32"/>
          <w:szCs w:val="32"/>
          <w:lang w:val="en-US" w:eastAsia="zh-CN" w:bidi="ar-SA"/>
        </w:rPr>
        <w:t>园区</w:t>
      </w:r>
      <w:r>
        <w:rPr>
          <w:rFonts w:hint="default" w:ascii="仿宋_GB2312" w:hAnsi="宋体" w:eastAsia="仿宋_GB2312" w:cs="宋体"/>
          <w:kern w:val="0"/>
          <w:sz w:val="32"/>
          <w:szCs w:val="32"/>
          <w:lang w:val="en-US" w:eastAsia="zh-CN" w:bidi="ar-SA"/>
        </w:rPr>
        <w:t>供电开关</w:t>
      </w:r>
      <w:r>
        <w:rPr>
          <w:rFonts w:hint="eastAsia" w:ascii="仿宋_GB2312" w:hAnsi="宋体" w:eastAsia="仿宋_GB2312" w:cs="宋体"/>
          <w:kern w:val="0"/>
          <w:sz w:val="32"/>
          <w:szCs w:val="32"/>
          <w:lang w:val="en-US" w:eastAsia="zh-CN" w:bidi="ar-SA"/>
        </w:rPr>
        <w:t>站</w:t>
      </w:r>
      <w:r>
        <w:rPr>
          <w:rFonts w:hint="default" w:ascii="仿宋_GB2312" w:hAnsi="宋体" w:eastAsia="仿宋_GB2312" w:cs="宋体"/>
          <w:kern w:val="0"/>
          <w:sz w:val="32"/>
          <w:szCs w:val="32"/>
          <w:lang w:val="en-US" w:eastAsia="zh-CN" w:bidi="ar-SA"/>
        </w:rPr>
        <w:t>配套用房，建成后无偿交给惠城区政府相关部门管理使用。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sz w:val="32"/>
          <w:szCs w:val="32"/>
        </w:rPr>
        <w:t>竞得人有下列行为之一的，视为违约，取消竞得人资格，</w:t>
      </w:r>
      <w:r>
        <w:rPr>
          <w:rFonts w:hint="eastAsia" w:ascii="仿宋_GB2312" w:hAnsi="仿宋_GB2312" w:eastAsia="仿宋_GB2312" w:cs="仿宋_GB2312"/>
          <w:sz w:val="32"/>
          <w:szCs w:val="32"/>
          <w:lang w:val="en-US" w:eastAsia="zh-CN"/>
        </w:rPr>
        <w:t>定金不予返还</w:t>
      </w:r>
      <w:r>
        <w:rPr>
          <w:rFonts w:hint="eastAsia" w:ascii="仿宋_GB2312" w:hAnsi="仿宋_GB2312" w:eastAsia="仿宋_GB2312" w:cs="仿宋_GB2312"/>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叶</w:t>
      </w:r>
      <w:r>
        <w:rPr>
          <w:rFonts w:hint="eastAsia" w:ascii="仿宋_GB2312" w:hAnsi="仿宋_GB2312" w:eastAsia="仿宋_GB2312" w:cs="仿宋_GB2312"/>
          <w:sz w:val="32"/>
          <w:szCs w:val="32"/>
        </w:rPr>
        <w:t>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数字证书办理地址：广东省惠州市</w:t>
      </w:r>
      <w:r>
        <w:rPr>
          <w:rFonts w:hint="eastAsia" w:ascii="仿宋_GB2312" w:hAnsi="仿宋_GB2312" w:eastAsia="仿宋_GB2312" w:cs="仿宋_GB2312"/>
          <w:sz w:val="32"/>
          <w:szCs w:val="32"/>
          <w:lang w:val="en-US" w:eastAsia="zh-CN"/>
        </w:rPr>
        <w:t>惠城区三新北路31号市民服务中心3号楼惠州市公共资源交易中心一楼大厅1号土地与矿业交易窗口。</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7121029</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2022年5月17日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outlineLvl w:val="0"/>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6"/>
        <w:tblW w:w="10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lang w:val="en-US" w:eastAsia="zh-CN"/>
              </w:rPr>
              <w:t>地块</w:t>
            </w:r>
            <w:r>
              <w:rPr>
                <w:rFonts w:hint="eastAsia" w:ascii="仿宋_GB2312" w:eastAsia="仿宋_GB2312"/>
                <w:b/>
                <w:bCs/>
                <w:szCs w:val="21"/>
              </w:rPr>
              <w:t>编号</w:t>
            </w:r>
          </w:p>
        </w:tc>
        <w:tc>
          <w:tcPr>
            <w:tcW w:w="5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lang w:eastAsia="zh-CN"/>
              </w:rPr>
            </w:pPr>
            <w:r>
              <w:rPr>
                <w:rFonts w:hint="eastAsia" w:eastAsia="仿宋_GB2312"/>
                <w:b/>
                <w:szCs w:val="21"/>
              </w:rPr>
              <w:t>建筑</w:t>
            </w:r>
            <w:r>
              <w:rPr>
                <w:rFonts w:hint="eastAsia" w:eastAsia="仿宋_GB2312"/>
                <w:b/>
                <w:szCs w:val="21"/>
                <w:lang w:val="en-US" w:eastAsia="zh-CN"/>
              </w:rPr>
              <w:t>系数</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GP2022-13</w:t>
            </w:r>
          </w:p>
        </w:tc>
        <w:tc>
          <w:tcPr>
            <w:tcW w:w="690"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cs="Times New Roman"/>
                <w:szCs w:val="21"/>
                <w:lang w:val="en-US" w:eastAsia="zh-CN"/>
              </w:rPr>
              <w:t>惠城区高新科技产业园南部片区B-11-02地块</w:t>
            </w:r>
          </w:p>
        </w:tc>
        <w:tc>
          <w:tcPr>
            <w:tcW w:w="61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B-11-02</w:t>
            </w:r>
          </w:p>
        </w:tc>
        <w:tc>
          <w:tcPr>
            <w:tcW w:w="570"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一类工业用地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8831.49</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12768</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1.4</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2</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17876-31920（其中配套设施面积≥95）</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办公及生活服务设施每100平方米计容积率建筑面积≥1个，厂房每100平方米计容积率建筑面积≥0.3个，停车场须按不低于总停车位的10%的比例配置充电设施。</w:t>
            </w:r>
          </w:p>
        </w:tc>
        <w:tc>
          <w:tcPr>
            <w:tcW w:w="90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通信设备、计算机及其他电子设备制造业</w:t>
            </w:r>
          </w:p>
        </w:tc>
        <w:tc>
          <w:tcPr>
            <w:tcW w:w="67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50年</w:t>
            </w:r>
          </w:p>
          <w:p>
            <w:pPr>
              <w:jc w:val="center"/>
              <w:rPr>
                <w:rFonts w:hint="eastAsia" w:ascii="仿宋_GB2312" w:hAnsi="Times New Roman" w:eastAsia="仿宋_GB2312" w:cs="Times New Roman"/>
                <w:szCs w:val="21"/>
                <w:lang w:val="en-US"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abstractNum w:abstractNumId="1">
    <w:nsid w:val="1F661025"/>
    <w:multiLevelType w:val="singleLevel"/>
    <w:tmpl w:val="1F661025"/>
    <w:lvl w:ilvl="0" w:tentative="0">
      <w:start w:val="7"/>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F36E6"/>
    <w:rsid w:val="045C3FD8"/>
    <w:rsid w:val="04946AA6"/>
    <w:rsid w:val="07386886"/>
    <w:rsid w:val="082B1937"/>
    <w:rsid w:val="0D167AC3"/>
    <w:rsid w:val="0DF23899"/>
    <w:rsid w:val="0E7A65F6"/>
    <w:rsid w:val="0F5C7083"/>
    <w:rsid w:val="101D3BC2"/>
    <w:rsid w:val="10BD4DFA"/>
    <w:rsid w:val="111502FA"/>
    <w:rsid w:val="11497254"/>
    <w:rsid w:val="137618AF"/>
    <w:rsid w:val="1378696F"/>
    <w:rsid w:val="13D50F1B"/>
    <w:rsid w:val="14895F86"/>
    <w:rsid w:val="165A06F9"/>
    <w:rsid w:val="167673A1"/>
    <w:rsid w:val="17AA0480"/>
    <w:rsid w:val="188D227F"/>
    <w:rsid w:val="1A0B2C56"/>
    <w:rsid w:val="1AA5305E"/>
    <w:rsid w:val="1ADB0E54"/>
    <w:rsid w:val="1BBA2C7F"/>
    <w:rsid w:val="1C5904D7"/>
    <w:rsid w:val="1DA10869"/>
    <w:rsid w:val="1DD73460"/>
    <w:rsid w:val="1DE30B94"/>
    <w:rsid w:val="1E862B6D"/>
    <w:rsid w:val="1F7C2358"/>
    <w:rsid w:val="20ED2229"/>
    <w:rsid w:val="214F5422"/>
    <w:rsid w:val="22890C8D"/>
    <w:rsid w:val="23635EBF"/>
    <w:rsid w:val="25032222"/>
    <w:rsid w:val="25055FD6"/>
    <w:rsid w:val="28774868"/>
    <w:rsid w:val="2A6B42FA"/>
    <w:rsid w:val="2A870225"/>
    <w:rsid w:val="2AC221EF"/>
    <w:rsid w:val="2B5D4967"/>
    <w:rsid w:val="2B991EB8"/>
    <w:rsid w:val="304C7078"/>
    <w:rsid w:val="31CE6D72"/>
    <w:rsid w:val="35335FA2"/>
    <w:rsid w:val="35521EEE"/>
    <w:rsid w:val="36061489"/>
    <w:rsid w:val="37607760"/>
    <w:rsid w:val="380440B7"/>
    <w:rsid w:val="381E07C6"/>
    <w:rsid w:val="38BD14D1"/>
    <w:rsid w:val="393D0EAE"/>
    <w:rsid w:val="3A1539BC"/>
    <w:rsid w:val="3B315140"/>
    <w:rsid w:val="3C13026D"/>
    <w:rsid w:val="3DDC60B5"/>
    <w:rsid w:val="3F3714BF"/>
    <w:rsid w:val="40231E47"/>
    <w:rsid w:val="40363F40"/>
    <w:rsid w:val="411B39E1"/>
    <w:rsid w:val="42CE6157"/>
    <w:rsid w:val="43706132"/>
    <w:rsid w:val="45C047BF"/>
    <w:rsid w:val="45DC2943"/>
    <w:rsid w:val="48572CF1"/>
    <w:rsid w:val="4A1228DB"/>
    <w:rsid w:val="4A1B1ECC"/>
    <w:rsid w:val="4AE74DD0"/>
    <w:rsid w:val="4C2E14D5"/>
    <w:rsid w:val="4F760243"/>
    <w:rsid w:val="4F861E18"/>
    <w:rsid w:val="50AC3441"/>
    <w:rsid w:val="538C505C"/>
    <w:rsid w:val="552F0F07"/>
    <w:rsid w:val="55B64659"/>
    <w:rsid w:val="565101CA"/>
    <w:rsid w:val="567F481B"/>
    <w:rsid w:val="57A3234F"/>
    <w:rsid w:val="57C844D5"/>
    <w:rsid w:val="596A13D8"/>
    <w:rsid w:val="5A893EB0"/>
    <w:rsid w:val="5AF873B7"/>
    <w:rsid w:val="5C8041A9"/>
    <w:rsid w:val="5D241B5A"/>
    <w:rsid w:val="5E3B0440"/>
    <w:rsid w:val="606821F3"/>
    <w:rsid w:val="60BF3E28"/>
    <w:rsid w:val="614A26F3"/>
    <w:rsid w:val="64D925C4"/>
    <w:rsid w:val="68527CA2"/>
    <w:rsid w:val="692A6240"/>
    <w:rsid w:val="6E243EC3"/>
    <w:rsid w:val="6EB83079"/>
    <w:rsid w:val="6F4B3B48"/>
    <w:rsid w:val="73BE7EBD"/>
    <w:rsid w:val="73D33D8C"/>
    <w:rsid w:val="748840AA"/>
    <w:rsid w:val="750D1BD7"/>
    <w:rsid w:val="761352C3"/>
    <w:rsid w:val="77DD303C"/>
    <w:rsid w:val="79E82C45"/>
    <w:rsid w:val="7ACA2817"/>
    <w:rsid w:val="7B832F79"/>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叶舒</cp:lastModifiedBy>
  <cp:lastPrinted>2022-03-09T07:18:00Z</cp:lastPrinted>
  <dcterms:modified xsi:type="dcterms:W3CDTF">2022-05-17T08:14:29Z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2376193916E34C638ABC7AA510448726</vt:lpwstr>
  </property>
</Properties>
</file>